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62A4" w14:textId="648B01F2" w:rsidR="00D9192B" w:rsidRDefault="00D9192B">
      <w:r>
        <w:t>Feedback on B&amp;E Meeting Agenda Items</w:t>
      </w:r>
    </w:p>
    <w:p w14:paraId="189A13FC" w14:textId="77777777" w:rsidR="00D9192B" w:rsidRDefault="00D9192B"/>
    <w:p w14:paraId="376EC4F7" w14:textId="13D26E2A" w:rsidR="00D9192B" w:rsidRDefault="00D9192B">
      <w:r>
        <w:t xml:space="preserve">Ex. 5 – South Louisiana Electric Cooperative Association </w:t>
      </w:r>
    </w:p>
    <w:p w14:paraId="3FE9C534" w14:textId="5961C76E" w:rsidR="00EC5BA5" w:rsidRDefault="00EC5BA5" w:rsidP="00EC5BA5">
      <w:pPr>
        <w:pStyle w:val="ListParagraph"/>
        <w:numPr>
          <w:ilvl w:val="0"/>
          <w:numId w:val="1"/>
        </w:numPr>
      </w:pPr>
      <w:r>
        <w:t>Request for interim increase for storm response appears necessary</w:t>
      </w:r>
    </w:p>
    <w:p w14:paraId="3D2AED7B" w14:textId="11FF5D93" w:rsidR="00EC5BA5" w:rsidRDefault="00EC5BA5" w:rsidP="00EC5BA5">
      <w:pPr>
        <w:pStyle w:val="ListParagraph"/>
        <w:numPr>
          <w:ilvl w:val="0"/>
          <w:numId w:val="1"/>
        </w:numPr>
      </w:pPr>
      <w:r>
        <w:t xml:space="preserve">Not </w:t>
      </w:r>
      <w:r w:rsidR="00A5053C">
        <w:t>clear</w:t>
      </w:r>
      <w:r>
        <w:t xml:space="preserve"> about staff recommendation to implement formula rate plan as a response</w:t>
      </w:r>
    </w:p>
    <w:p w14:paraId="6DFA8618" w14:textId="60B66439" w:rsidR="00EC5BA5" w:rsidRDefault="00EC5BA5" w:rsidP="00EC5BA5">
      <w:pPr>
        <w:pStyle w:val="ListParagraph"/>
        <w:numPr>
          <w:ilvl w:val="0"/>
          <w:numId w:val="1"/>
        </w:numPr>
      </w:pPr>
      <w:r>
        <w:t>An electric cooperative has different motives than an investor-owned utility and formula</w:t>
      </w:r>
      <w:r w:rsidR="004F3C6C">
        <w:t xml:space="preserve"> plan</w:t>
      </w:r>
      <w:r>
        <w:t xml:space="preserve"> adjusts </w:t>
      </w:r>
      <w:r w:rsidR="004F3C6C">
        <w:t xml:space="preserve">revenues </w:t>
      </w:r>
      <w:r>
        <w:t>to ensure the coop can pay their lenders</w:t>
      </w:r>
    </w:p>
    <w:p w14:paraId="3375F433" w14:textId="7FC8568A" w:rsidR="00EC5BA5" w:rsidRDefault="00EC5BA5" w:rsidP="00EC5BA5">
      <w:pPr>
        <w:pStyle w:val="ListParagraph"/>
        <w:numPr>
          <w:ilvl w:val="0"/>
          <w:numId w:val="1"/>
        </w:numPr>
      </w:pPr>
      <w:r>
        <w:t xml:space="preserve">However, </w:t>
      </w:r>
      <w:r w:rsidR="00A5053C">
        <w:t>formula plan also</w:t>
      </w:r>
      <w:r>
        <w:t xml:space="preserve"> dilutes incentives to manage the utility’s costs</w:t>
      </w:r>
    </w:p>
    <w:p w14:paraId="49064CC8" w14:textId="59CBB4C4" w:rsidR="00D57452" w:rsidRDefault="00EC5BA5" w:rsidP="00EC5BA5">
      <w:pPr>
        <w:pStyle w:val="ListParagraph"/>
        <w:numPr>
          <w:ilvl w:val="0"/>
          <w:numId w:val="1"/>
        </w:numPr>
      </w:pPr>
      <w:r>
        <w:t>Without a cost-conscious board/management team, it can be an administratively expedient mechanism to pass on costs</w:t>
      </w:r>
      <w:r w:rsidR="004417C7">
        <w:t xml:space="preserve"> but s</w:t>
      </w:r>
      <w:r w:rsidR="002C7F5A">
        <w:t xml:space="preserve">omeone still needs to be carefully reviewing the </w:t>
      </w:r>
      <w:r w:rsidR="004104BE">
        <w:t>organization’s expenses/cost structure.  In a well-managed coop, that’s the management/board</w:t>
      </w:r>
      <w:r w:rsidR="00131FF0">
        <w:t>.  If they are not effective in these roles, the PSC needs to provide th</w:t>
      </w:r>
      <w:r w:rsidR="008E7036">
        <w:t>is</w:t>
      </w:r>
      <w:r w:rsidR="00131FF0">
        <w:t xml:space="preserve"> oversight.</w:t>
      </w:r>
      <w:r w:rsidR="00D57452">
        <w:t xml:space="preserve">  Unclear that a formula plan puts PSC in best position to exercise that oversight.  </w:t>
      </w:r>
      <w:r w:rsidR="00131FF0">
        <w:t xml:space="preserve"> </w:t>
      </w:r>
    </w:p>
    <w:p w14:paraId="6C3223B5" w14:textId="77777777" w:rsidR="00471E68" w:rsidRDefault="00471E68" w:rsidP="00471E68"/>
    <w:p w14:paraId="32AE51C1" w14:textId="633427CF" w:rsidR="00471E68" w:rsidRDefault="00943257" w:rsidP="00471E68">
      <w:r>
        <w:t xml:space="preserve">Ex. 12 </w:t>
      </w:r>
      <w:r w:rsidR="00AF4E69">
        <w:t>–</w:t>
      </w:r>
      <w:r>
        <w:t xml:space="preserve"> </w:t>
      </w:r>
      <w:r w:rsidR="00AF4E69">
        <w:t>Determination on Commission Jurisdiction over EVs</w:t>
      </w:r>
    </w:p>
    <w:p w14:paraId="7C9C1EDE" w14:textId="7CF7C507" w:rsidR="000117A2" w:rsidRDefault="000117A2" w:rsidP="000117A2">
      <w:pPr>
        <w:pStyle w:val="ListParagraph"/>
        <w:numPr>
          <w:ilvl w:val="0"/>
          <w:numId w:val="2"/>
        </w:numPr>
      </w:pPr>
      <w:r>
        <w:t xml:space="preserve">Recommend </w:t>
      </w:r>
      <w:r w:rsidR="00211332">
        <w:t>declining to assert jurisdiction</w:t>
      </w:r>
      <w:r w:rsidR="004F5AD9">
        <w:t xml:space="preserve"> – consistent with staff proposal</w:t>
      </w:r>
    </w:p>
    <w:p w14:paraId="0FF31417" w14:textId="71E63AD3" w:rsidR="007A1900" w:rsidRDefault="007A1900" w:rsidP="000117A2">
      <w:pPr>
        <w:pStyle w:val="ListParagraph"/>
        <w:numPr>
          <w:ilvl w:val="0"/>
          <w:numId w:val="2"/>
        </w:numPr>
      </w:pPr>
      <w:r>
        <w:t>Staff definition is a decent starting point</w:t>
      </w:r>
    </w:p>
    <w:p w14:paraId="45869DA7" w14:textId="6826A9FD" w:rsidR="007A1900" w:rsidRDefault="007A1900" w:rsidP="000117A2">
      <w:pPr>
        <w:pStyle w:val="ListParagraph"/>
        <w:numPr>
          <w:ilvl w:val="0"/>
          <w:numId w:val="2"/>
        </w:numPr>
      </w:pPr>
      <w:r>
        <w:t>If problems come up in the future the PSC can address then</w:t>
      </w:r>
    </w:p>
    <w:p w14:paraId="6E869597" w14:textId="3A4FC393" w:rsidR="007A1900" w:rsidRDefault="001A5289" w:rsidP="000117A2">
      <w:pPr>
        <w:pStyle w:val="ListParagraph"/>
        <w:numPr>
          <w:ilvl w:val="0"/>
          <w:numId w:val="2"/>
        </w:numPr>
      </w:pPr>
      <w:r>
        <w:t>Some of the points made by the EV charging companies about on-site/self-generation</w:t>
      </w:r>
      <w:r w:rsidR="008F7EBC">
        <w:t xml:space="preserve"> may be valid</w:t>
      </w:r>
    </w:p>
    <w:p w14:paraId="4DDE6743" w14:textId="3A0AFED2" w:rsidR="008F7EBC" w:rsidRDefault="008F7EBC" w:rsidP="000117A2">
      <w:pPr>
        <w:pStyle w:val="ListParagraph"/>
        <w:numPr>
          <w:ilvl w:val="0"/>
          <w:numId w:val="2"/>
        </w:numPr>
      </w:pPr>
      <w:r>
        <w:t xml:space="preserve">Definition could be read very narrowly to limit </w:t>
      </w:r>
      <w:r w:rsidR="0080680B">
        <w:t>EV stations to buying power from local utility</w:t>
      </w:r>
    </w:p>
    <w:p w14:paraId="3F17ABD4" w14:textId="4E45BCCA" w:rsidR="0080680B" w:rsidRDefault="0080680B" w:rsidP="000117A2">
      <w:pPr>
        <w:pStyle w:val="ListParagraph"/>
        <w:numPr>
          <w:ilvl w:val="0"/>
          <w:numId w:val="2"/>
        </w:numPr>
      </w:pPr>
      <w:r>
        <w:t xml:space="preserve">On the whole, </w:t>
      </w:r>
      <w:r w:rsidR="00AC6BA6">
        <w:t>broader public</w:t>
      </w:r>
      <w:r>
        <w:t xml:space="preserve"> </w:t>
      </w:r>
      <w:r w:rsidR="00196A86">
        <w:t xml:space="preserve">interest is clarifying market rules </w:t>
      </w:r>
      <w:r w:rsidR="00856027">
        <w:t xml:space="preserve">so the range of interested parties can </w:t>
      </w:r>
      <w:r w:rsidR="00196A86">
        <w:t xml:space="preserve">build </w:t>
      </w:r>
      <w:r w:rsidR="00856027">
        <w:t xml:space="preserve">EV </w:t>
      </w:r>
      <w:r w:rsidR="00196A86">
        <w:t>infrastructure at scale</w:t>
      </w:r>
    </w:p>
    <w:p w14:paraId="31F40EAC" w14:textId="7064533E" w:rsidR="00DF3E05" w:rsidRDefault="00DF3E05" w:rsidP="000117A2">
      <w:pPr>
        <w:pStyle w:val="ListParagraph"/>
        <w:numPr>
          <w:ilvl w:val="0"/>
          <w:numId w:val="2"/>
        </w:numPr>
      </w:pPr>
      <w:r>
        <w:t xml:space="preserve">Can tackle this question at a later time if there are </w:t>
      </w:r>
      <w:r w:rsidR="00D00C77">
        <w:t>situations where utilities are overly restrictive</w:t>
      </w:r>
      <w:r w:rsidR="004F5AD9">
        <w:t xml:space="preserve"> </w:t>
      </w:r>
    </w:p>
    <w:p w14:paraId="53E4BDE8" w14:textId="77777777" w:rsidR="000117A2" w:rsidRDefault="000117A2" w:rsidP="00471E68"/>
    <w:p w14:paraId="34D4317D" w14:textId="1C3C4782" w:rsidR="00AF4E69" w:rsidRDefault="00140ED2" w:rsidP="00471E68">
      <w:r>
        <w:t xml:space="preserve">Ex. 14 </w:t>
      </w:r>
      <w:r w:rsidR="00CF1AC3">
        <w:t>–</w:t>
      </w:r>
      <w:r>
        <w:t xml:space="preserve"> </w:t>
      </w:r>
      <w:r w:rsidR="00CF1AC3">
        <w:t>SWEPCO Hurricane settlement</w:t>
      </w:r>
    </w:p>
    <w:p w14:paraId="72ED7192" w14:textId="4B570CDA" w:rsidR="00CF1AC3" w:rsidRDefault="00CF1AC3" w:rsidP="00471E68">
      <w:r>
        <w:t xml:space="preserve">There are several aspects of the settlement that </w:t>
      </w:r>
      <w:r w:rsidR="005608E8">
        <w:t xml:space="preserve">differ from the direct/rebuttal testimonies and </w:t>
      </w:r>
      <w:r w:rsidR="004911D6">
        <w:t xml:space="preserve">are </w:t>
      </w:r>
      <w:r w:rsidR="005608E8">
        <w:t xml:space="preserve">not explained in the </w:t>
      </w:r>
      <w:r w:rsidR="00BB251A">
        <w:t xml:space="preserve">filing.  </w:t>
      </w:r>
    </w:p>
    <w:p w14:paraId="3C21D674" w14:textId="4DED7F7C" w:rsidR="00BB251A" w:rsidRDefault="00BB251A" w:rsidP="00471E68">
      <w:r>
        <w:t>Notably, the settlement states</w:t>
      </w:r>
      <w:r w:rsidR="00B62372">
        <w:t>,</w:t>
      </w:r>
      <w:r>
        <w:t xml:space="preserve"> </w:t>
      </w:r>
      <w:r w:rsidR="00B62372">
        <w:t>“</w:t>
      </w:r>
      <w:r w:rsidR="00B62372" w:rsidRPr="00B62372">
        <w:t>the</w:t>
      </w:r>
      <w:r w:rsidR="00B62372">
        <w:t xml:space="preserve"> </w:t>
      </w:r>
      <w:r w:rsidR="00B62372" w:rsidRPr="00B62372">
        <w:t>distribution</w:t>
      </w:r>
      <w:r w:rsidR="00B62372">
        <w:t xml:space="preserve"> </w:t>
      </w:r>
      <w:r w:rsidR="00B62372" w:rsidRPr="00B62372">
        <w:t>and</w:t>
      </w:r>
      <w:r w:rsidR="00B62372">
        <w:t xml:space="preserve"> </w:t>
      </w:r>
      <w:r w:rsidR="00B62372" w:rsidRPr="00B62372">
        <w:t>transmission</w:t>
      </w:r>
      <w:r w:rsidR="00B62372">
        <w:t xml:space="preserve"> </w:t>
      </w:r>
      <w:r w:rsidR="00B62372" w:rsidRPr="00B62372">
        <w:t>O&amp;M</w:t>
      </w:r>
      <w:r w:rsidR="00B62372">
        <w:t xml:space="preserve"> </w:t>
      </w:r>
      <w:r w:rsidR="00B62372" w:rsidRPr="00B62372">
        <w:t>portion</w:t>
      </w:r>
      <w:r w:rsidR="00B62372">
        <w:t xml:space="preserve"> </w:t>
      </w:r>
      <w:r w:rsidR="00B62372" w:rsidRPr="00B62372">
        <w:t>of SWEPCO’s</w:t>
      </w:r>
      <w:r w:rsidR="00B62372">
        <w:t xml:space="preserve"> </w:t>
      </w:r>
      <w:r w:rsidR="00B62372" w:rsidRPr="00B62372">
        <w:t>LPSC-jurisdictional</w:t>
      </w:r>
      <w:r w:rsidR="00B62372">
        <w:t xml:space="preserve"> </w:t>
      </w:r>
      <w:r w:rsidR="0079628F">
        <w:t>$</w:t>
      </w:r>
      <w:r w:rsidR="0079628F" w:rsidRPr="0079628F">
        <w:t>180,225,383</w:t>
      </w:r>
      <w:r w:rsidR="0079628F">
        <w:t xml:space="preserve"> </w:t>
      </w:r>
      <w:r w:rsidR="0079628F" w:rsidRPr="0079628F">
        <w:t>of</w:t>
      </w:r>
      <w:r w:rsidR="0079628F">
        <w:t xml:space="preserve"> </w:t>
      </w:r>
      <w:r w:rsidR="0079628F" w:rsidRPr="0079628F">
        <w:t>costs</w:t>
      </w:r>
      <w:r w:rsidR="0079628F">
        <w:t xml:space="preserve"> </w:t>
      </w:r>
      <w:r w:rsidR="0079628F" w:rsidRPr="0079628F">
        <w:t>associated</w:t>
      </w:r>
      <w:r w:rsidR="0079628F">
        <w:t xml:space="preserve"> </w:t>
      </w:r>
      <w:r w:rsidR="0079628F" w:rsidRPr="0079628F">
        <w:t>with</w:t>
      </w:r>
      <w:r w:rsidR="0079628F">
        <w:t xml:space="preserve"> </w:t>
      </w:r>
      <w:r w:rsidR="0079628F" w:rsidRPr="0079628F">
        <w:t>Hurricanes</w:t>
      </w:r>
      <w:r w:rsidR="0079628F">
        <w:t xml:space="preserve"> </w:t>
      </w:r>
      <w:r w:rsidR="0079628F" w:rsidRPr="0079628F">
        <w:t>Laura</w:t>
      </w:r>
      <w:r w:rsidR="0079628F">
        <w:t xml:space="preserve"> </w:t>
      </w:r>
      <w:r w:rsidR="0079628F" w:rsidRPr="0079628F">
        <w:t>and</w:t>
      </w:r>
      <w:r w:rsidR="0079628F">
        <w:t xml:space="preserve"> </w:t>
      </w:r>
      <w:r w:rsidR="0079628F" w:rsidRPr="0079628F">
        <w:t>Delta,</w:t>
      </w:r>
      <w:r w:rsidR="0079628F">
        <w:t xml:space="preserve"> </w:t>
      </w:r>
      <w:r w:rsidR="0079628F" w:rsidRPr="0079628F">
        <w:t>and</w:t>
      </w:r>
      <w:r w:rsidR="0079628F">
        <w:t xml:space="preserve"> </w:t>
      </w:r>
      <w:r w:rsidR="0079628F" w:rsidRPr="0079628F">
        <w:t>Winter</w:t>
      </w:r>
      <w:r w:rsidR="0079628F">
        <w:t xml:space="preserve"> </w:t>
      </w:r>
      <w:r w:rsidR="0079628F" w:rsidRPr="0079628F">
        <w:t>Storm</w:t>
      </w:r>
      <w:r w:rsidR="0079628F">
        <w:t xml:space="preserve"> </w:t>
      </w:r>
      <w:r w:rsidR="0079628F" w:rsidRPr="0079628F">
        <w:t>Uri</w:t>
      </w:r>
      <w:r w:rsidR="0079628F">
        <w:t xml:space="preserve"> </w:t>
      </w:r>
      <w:r w:rsidR="0079628F" w:rsidRPr="0079628F">
        <w:t>are</w:t>
      </w:r>
      <w:r w:rsidR="0079628F">
        <w:t xml:space="preserve"> </w:t>
      </w:r>
      <w:r w:rsidR="0079628F" w:rsidRPr="0079628F">
        <w:t>reasonable</w:t>
      </w:r>
      <w:r w:rsidR="0079628F">
        <w:t xml:space="preserve"> </w:t>
      </w:r>
      <w:r w:rsidR="0079628F" w:rsidRPr="0079628F">
        <w:t>and</w:t>
      </w:r>
      <w:r w:rsidR="0079628F">
        <w:t xml:space="preserve"> </w:t>
      </w:r>
      <w:r w:rsidR="0079628F" w:rsidRPr="0079628F">
        <w:t>prudent</w:t>
      </w:r>
      <w:r w:rsidR="0079628F">
        <w:t xml:space="preserve"> </w:t>
      </w:r>
      <w:r w:rsidR="0079628F" w:rsidRPr="0079628F">
        <w:t>and</w:t>
      </w:r>
      <w:r w:rsidR="0079628F">
        <w:t xml:space="preserve"> </w:t>
      </w:r>
      <w:r w:rsidR="0079628F" w:rsidRPr="0079628F">
        <w:t>eligible</w:t>
      </w:r>
      <w:r w:rsidR="0079628F">
        <w:t xml:space="preserve"> </w:t>
      </w:r>
      <w:r w:rsidR="0079628F" w:rsidRPr="0079628F">
        <w:t>for</w:t>
      </w:r>
      <w:r w:rsidR="0079628F">
        <w:t xml:space="preserve"> </w:t>
      </w:r>
      <w:r w:rsidR="0079628F" w:rsidRPr="0079628F">
        <w:t>recovery.</w:t>
      </w:r>
      <w:r w:rsidR="00A168D0">
        <w:t>”</w:t>
      </w:r>
    </w:p>
    <w:p w14:paraId="758EB96D" w14:textId="63D53410" w:rsidR="0079628F" w:rsidRDefault="0079628F" w:rsidP="00471E68">
      <w:r>
        <w:t>Th</w:t>
      </w:r>
      <w:r w:rsidR="00A168D0">
        <w:t>e $180 million</w:t>
      </w:r>
      <w:r>
        <w:t xml:space="preserve"> does not appear anywhere in the record for the O&amp;M costs.  </w:t>
      </w:r>
    </w:p>
    <w:p w14:paraId="56DB337F" w14:textId="1FFCE123" w:rsidR="0079628F" w:rsidRDefault="0079628F" w:rsidP="00471E68">
      <w:r>
        <w:t xml:space="preserve">Commission witness </w:t>
      </w:r>
      <w:r w:rsidR="00997E8B">
        <w:t>provides the following table in direct testimony:</w:t>
      </w:r>
    </w:p>
    <w:p w14:paraId="4DEEA5C4" w14:textId="3ABB8A67" w:rsidR="00997E8B" w:rsidRDefault="00032203" w:rsidP="00471E68">
      <w:r w:rsidRPr="00032203">
        <w:rPr>
          <w:noProof/>
        </w:rPr>
        <w:lastRenderedPageBreak/>
        <w:drawing>
          <wp:inline distT="0" distB="0" distL="0" distR="0" wp14:anchorId="3ADB8A18" wp14:editId="0D7DCC36">
            <wp:extent cx="4807795" cy="2284730"/>
            <wp:effectExtent l="0" t="0" r="0" b="1270"/>
            <wp:docPr id="780384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65" cy="228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B24B" w14:textId="5F03C64A" w:rsidR="0079628F" w:rsidRDefault="00423A3F" w:rsidP="00471E68">
      <w:r>
        <w:t xml:space="preserve">See Direct Testimony of R. Lane Sisung at p.7.  </w:t>
      </w:r>
    </w:p>
    <w:p w14:paraId="13A81D4A" w14:textId="77777777" w:rsidR="00005DAB" w:rsidRDefault="00005DAB" w:rsidP="00471E68"/>
    <w:p w14:paraId="2C254AF2" w14:textId="5B0E34F5" w:rsidR="00005DAB" w:rsidRDefault="00005DAB" w:rsidP="00471E68">
      <w:r>
        <w:t xml:space="preserve">In this table the Commission’s witness attributes $148 million of O&amp;M costs to the storms. </w:t>
      </w:r>
    </w:p>
    <w:p w14:paraId="1D6A5275" w14:textId="704A4685" w:rsidR="00005DAB" w:rsidRDefault="00005DAB" w:rsidP="00471E68">
      <w:r>
        <w:t xml:space="preserve">SWEPCO Rebuttal testimony </w:t>
      </w:r>
      <w:r w:rsidR="00885C96">
        <w:t>provides the following table:</w:t>
      </w:r>
    </w:p>
    <w:p w14:paraId="3777BA88" w14:textId="196EB9B2" w:rsidR="00885C96" w:rsidRDefault="00885C96" w:rsidP="00471E68">
      <w:r w:rsidRPr="00885C96">
        <w:rPr>
          <w:noProof/>
        </w:rPr>
        <w:drawing>
          <wp:inline distT="0" distB="0" distL="0" distR="0" wp14:anchorId="0E92FAA0" wp14:editId="67E95731">
            <wp:extent cx="5943600" cy="1671320"/>
            <wp:effectExtent l="0" t="0" r="0" b="5080"/>
            <wp:docPr id="303151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3DF2" w14:textId="5C1E8E1C" w:rsidR="0054197A" w:rsidRDefault="0054197A" w:rsidP="00471E68">
      <w:r>
        <w:t xml:space="preserve">Approximately $152 million for T&amp;D O&amp;M costs. </w:t>
      </w:r>
    </w:p>
    <w:p w14:paraId="44E7BEC5" w14:textId="77777777" w:rsidR="0054197A" w:rsidRDefault="0054197A" w:rsidP="00471E68">
      <w:r>
        <w:t xml:space="preserve">The settlement does not explain where $180 million comes from. </w:t>
      </w:r>
    </w:p>
    <w:p w14:paraId="280412A0" w14:textId="77777777" w:rsidR="00F112FC" w:rsidRDefault="0054197A" w:rsidP="00471E68">
      <w:r>
        <w:t xml:space="preserve">On the topic of double recovery of SWEPCO labor costs, the rebuttal testimony is weak.  Instead of </w:t>
      </w:r>
      <w:r w:rsidR="00C55590">
        <w:t xml:space="preserve">clearly explaining how costs were separated, the testimony appears to attempt justifying double recovery because </w:t>
      </w:r>
      <w:r w:rsidR="003D5EAF">
        <w:t>the</w:t>
      </w:r>
      <w:r w:rsidR="00656DCD">
        <w:t>ir</w:t>
      </w:r>
      <w:r w:rsidR="003D5EAF">
        <w:t xml:space="preserve"> labor costs were based on a rate case several years prior.</w:t>
      </w:r>
      <w:r w:rsidR="00E24CC8">
        <w:t xml:space="preserve">  If SWEPCO is not fully recovering their current labor costs, there are different means to address that (a current rate case).  </w:t>
      </w:r>
      <w:r w:rsidR="00D77CE4">
        <w:t xml:space="preserve">Plugging </w:t>
      </w:r>
      <w:r w:rsidR="00C53241">
        <w:t>a potential</w:t>
      </w:r>
      <w:r w:rsidR="00D77CE4">
        <w:t xml:space="preserve"> gap by including </w:t>
      </w:r>
      <w:r w:rsidR="00C53241">
        <w:t>already recovered labor</w:t>
      </w:r>
      <w:r w:rsidR="00D77CE4">
        <w:t xml:space="preserve"> costs in the storm recovery </w:t>
      </w:r>
      <w:r w:rsidR="00FD6C1A">
        <w:t xml:space="preserve">regulatory asset </w:t>
      </w:r>
      <w:r w:rsidR="00C34E62">
        <w:t xml:space="preserve">is </w:t>
      </w:r>
      <w:r w:rsidR="00CB208D">
        <w:t xml:space="preserve">generally </w:t>
      </w:r>
      <w:r w:rsidR="00C34E62">
        <w:t>not considered a</w:t>
      </w:r>
      <w:r w:rsidR="007751FC">
        <w:t>ppropriate use of these regulatory tools.</w:t>
      </w:r>
    </w:p>
    <w:p w14:paraId="43E01DC6" w14:textId="77777777" w:rsidR="00F112FC" w:rsidRDefault="00F112FC" w:rsidP="00471E68"/>
    <w:p w14:paraId="4E6F86D6" w14:textId="6611620D" w:rsidR="00C34E62" w:rsidRDefault="00F112FC" w:rsidP="00471E68">
      <w:r>
        <w:t xml:space="preserve">In the context of this global settlement, the $ amounts for labor are likely </w:t>
      </w:r>
      <w:r w:rsidR="00786CB4">
        <w:t xml:space="preserve">low but highlight the more general concern about double recovery of existing costs in base rates.  The Commission’s </w:t>
      </w:r>
      <w:r w:rsidR="003F76F3">
        <w:t>witness brings this issue up in direct testimony.  SWEPCO’s rebuttal</w:t>
      </w:r>
      <w:r w:rsidR="00F43A8A">
        <w:t xml:space="preserve"> does not directly respond.  It begs a question of how much </w:t>
      </w:r>
      <w:r w:rsidR="002260FF">
        <w:t>additional costs potentially overlaps with existing base rates.  It is difficult to draw a clear line</w:t>
      </w:r>
      <w:r w:rsidR="006101A2">
        <w:t xml:space="preserve"> when staff departments have multiple overlapping roles and are then called on for storm response.  </w:t>
      </w:r>
      <w:r>
        <w:t xml:space="preserve"> </w:t>
      </w:r>
      <w:r w:rsidR="007751FC">
        <w:t xml:space="preserve"> </w:t>
      </w:r>
    </w:p>
    <w:p w14:paraId="5227C1CE" w14:textId="739A8874" w:rsidR="0054197A" w:rsidRDefault="005A6BF4" w:rsidP="00471E68">
      <w:r>
        <w:t xml:space="preserve">At the very least, the lack of clarity on these items should be called out </w:t>
      </w:r>
      <w:r w:rsidR="00282927">
        <w:t>and the Commission should look at improvements prior to the next round of storm recovery.</w:t>
      </w:r>
      <w:r w:rsidR="0054197A">
        <w:t xml:space="preserve"> </w:t>
      </w:r>
    </w:p>
    <w:p w14:paraId="67F36C81" w14:textId="77777777" w:rsidR="00D57452" w:rsidRDefault="00D57452" w:rsidP="00D57452"/>
    <w:p w14:paraId="250DB690" w14:textId="2786583A" w:rsidR="00EC5BA5" w:rsidRDefault="00EC5BA5" w:rsidP="00D57452">
      <w:r>
        <w:t xml:space="preserve">  </w:t>
      </w:r>
    </w:p>
    <w:sectPr w:rsidR="00EC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3DBB"/>
    <w:multiLevelType w:val="hybridMultilevel"/>
    <w:tmpl w:val="E500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0C0C"/>
    <w:multiLevelType w:val="hybridMultilevel"/>
    <w:tmpl w:val="900C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8476">
    <w:abstractNumId w:val="0"/>
  </w:num>
  <w:num w:numId="2" w16cid:durableId="9961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2B"/>
    <w:rsid w:val="00005DAB"/>
    <w:rsid w:val="000117A2"/>
    <w:rsid w:val="00032203"/>
    <w:rsid w:val="00131FF0"/>
    <w:rsid w:val="00140ED2"/>
    <w:rsid w:val="00196A86"/>
    <w:rsid w:val="001A5289"/>
    <w:rsid w:val="00211332"/>
    <w:rsid w:val="002260FF"/>
    <w:rsid w:val="00282927"/>
    <w:rsid w:val="002C7F5A"/>
    <w:rsid w:val="003D5EAF"/>
    <w:rsid w:val="003F76F3"/>
    <w:rsid w:val="004104BE"/>
    <w:rsid w:val="00423A3F"/>
    <w:rsid w:val="004417C7"/>
    <w:rsid w:val="00471E68"/>
    <w:rsid w:val="004911D6"/>
    <w:rsid w:val="004F3C6C"/>
    <w:rsid w:val="004F5AD9"/>
    <w:rsid w:val="0054197A"/>
    <w:rsid w:val="005608E8"/>
    <w:rsid w:val="005A6BF4"/>
    <w:rsid w:val="006101A2"/>
    <w:rsid w:val="00656DCD"/>
    <w:rsid w:val="007751FC"/>
    <w:rsid w:val="00786CB4"/>
    <w:rsid w:val="0079628F"/>
    <w:rsid w:val="007A1900"/>
    <w:rsid w:val="00805A31"/>
    <w:rsid w:val="0080680B"/>
    <w:rsid w:val="00856027"/>
    <w:rsid w:val="00885C96"/>
    <w:rsid w:val="008E7036"/>
    <w:rsid w:val="008F7EBC"/>
    <w:rsid w:val="00901DEB"/>
    <w:rsid w:val="00943257"/>
    <w:rsid w:val="00997E8B"/>
    <w:rsid w:val="00A168D0"/>
    <w:rsid w:val="00A5053C"/>
    <w:rsid w:val="00AC6BA6"/>
    <w:rsid w:val="00AF4E69"/>
    <w:rsid w:val="00B62372"/>
    <w:rsid w:val="00BB251A"/>
    <w:rsid w:val="00C34E62"/>
    <w:rsid w:val="00C53241"/>
    <w:rsid w:val="00C55590"/>
    <w:rsid w:val="00CB208D"/>
    <w:rsid w:val="00CF1AC3"/>
    <w:rsid w:val="00D00C77"/>
    <w:rsid w:val="00D57452"/>
    <w:rsid w:val="00D77CE4"/>
    <w:rsid w:val="00D9192B"/>
    <w:rsid w:val="00DF3E05"/>
    <w:rsid w:val="00E24CC8"/>
    <w:rsid w:val="00EB32D2"/>
    <w:rsid w:val="00EC5BA5"/>
    <w:rsid w:val="00F112FC"/>
    <w:rsid w:val="00F43A8A"/>
    <w:rsid w:val="00FD6C1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CD1E"/>
  <w15:chartTrackingRefBased/>
  <w15:docId w15:val="{234684A3-5EBC-499B-8CBF-BA7159D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Griffin</dc:creator>
  <cp:keywords/>
  <dc:description/>
  <cp:lastModifiedBy>Jay Griffin</cp:lastModifiedBy>
  <cp:revision>67</cp:revision>
  <dcterms:created xsi:type="dcterms:W3CDTF">2023-04-24T04:31:00Z</dcterms:created>
  <dcterms:modified xsi:type="dcterms:W3CDTF">2023-04-25T00:05:00Z</dcterms:modified>
</cp:coreProperties>
</file>